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491"/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7360"/>
        <w:gridCol w:w="4720"/>
      </w:tblGrid>
      <w:tr w:rsidR="008F611E" w:rsidRPr="00220BBE" w:rsidTr="008F611E">
        <w:trPr>
          <w:trHeight w:val="559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D1428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Strategie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D1428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Úkol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D1428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Plnění</w:t>
            </w:r>
          </w:p>
        </w:tc>
      </w:tr>
      <w:tr w:rsidR="008F611E" w:rsidRPr="00220BBE" w:rsidTr="008F611E">
        <w:trPr>
          <w:trHeight w:val="90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14289">
              <w:rPr>
                <w:rFonts w:ascii="Arial" w:hAnsi="Arial" w:cs="Arial"/>
                <w:b/>
                <w:bCs/>
                <w:color w:val="000000"/>
              </w:rPr>
              <w:t>Národní inovační strategie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Zjednodušit a zpřehlednit organizační strukturu systému podpory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z veřejných prostředků a zajistit koordinovanou implementaci všech podpůrných nástrojů na všech úrovních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Předložení do vlády v roce 2015</w:t>
            </w:r>
          </w:p>
        </w:tc>
      </w:tr>
      <w:tr w:rsidR="008F611E" w:rsidRPr="00220BBE" w:rsidTr="008F611E">
        <w:trPr>
          <w:trHeight w:val="1047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Zajistit dlouhodobý koncepční rozvoj výzkumných organizací, pro které musí být vytvořeny jasné a stabilní podmínky pro rozdělování institucionální podpory výzkumu na základě hodnocení podporujícího excelenci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Souvisí s novelou zákona č. 130/2002 Sb., která bude předložena do vlády v roce 2015</w:t>
            </w:r>
          </w:p>
        </w:tc>
      </w:tr>
      <w:tr w:rsidR="008F611E" w:rsidRPr="00220BBE" w:rsidTr="008F611E">
        <w:trPr>
          <w:trHeight w:val="1020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Zavedení nové metodiky přípravy a hodnocení programů účelové podpory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VaVaI</w:t>
            </w:r>
            <w:proofErr w:type="spellEnd"/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Všechny programy účelové podpory budou hodnoceny v roce 2015, výsledky hodnocení by se měly promítnout do účelové podpory poprvé v roce 2017</w:t>
            </w:r>
            <w:r w:rsidR="003B44CB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1082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Provádění hodnocení všech programů účelové podpory musí být založeno na základě hodnocení skutečných přínosů a zejména dopadů podpořeného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;  stejně tak ustanovit systém hodnocení velkých výzkumných infrastruktur 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Průběžně</w:t>
            </w:r>
          </w:p>
        </w:tc>
      </w:tr>
      <w:tr w:rsidR="008F611E" w:rsidRPr="00220BBE" w:rsidTr="008F611E">
        <w:trPr>
          <w:trHeight w:val="1538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Stanovit strategické priority orientovaného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, do kterých bude přednostně směřována veřejná podpora. Tyto priority musí, podobně jako v celé řadě dalších zemí, odpovídat současným nebo budoucím socioekonomickým potřebám ČR a být koordinovány (nikoliv pasivně přejímány) s evropskými prioritami. Stanovené priority musí být zapracovány do všech relevantních nástrojů podpory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Splněno</w:t>
            </w:r>
          </w:p>
        </w:tc>
      </w:tr>
      <w:tr w:rsidR="008F611E" w:rsidRPr="00220BBE" w:rsidTr="008F611E">
        <w:trPr>
          <w:trHeight w:val="993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Zavedení kvalitního hodnocení dopadů programů podpory aplikovaného výzkumu, provedení vyhodnocení přínosů (dopadů) těchto programů pro podnikové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aktivity, vč. jejich vlivu na inovační proces a hospodářskou výkonnost podpořených firem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Průběžně; odpovědnost Rada a poskytovatelé</w:t>
            </w:r>
          </w:p>
        </w:tc>
      </w:tr>
      <w:tr w:rsidR="008F611E" w:rsidRPr="00220BBE" w:rsidTr="008F611E">
        <w:trPr>
          <w:trHeight w:val="823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noWrap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Dokončení implementace reformy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VaVaI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Byla vyhodnocena v rámci hodnocení NP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VaVaI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; nedokončené úkoly byly zapracovány do Aktualizace NP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600"/>
        </w:trPr>
        <w:tc>
          <w:tcPr>
            <w:tcW w:w="3380" w:type="dxa"/>
            <w:shd w:val="clear" w:color="auto" w:fill="auto"/>
            <w:vAlign w:val="bottom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Vyhodnocení bariér rozvoje trhu rizikového kapitálu a vytvoření akčního plánu na jejich odstranění 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Doposud nebylo realizováno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120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14289">
              <w:rPr>
                <w:rFonts w:ascii="Arial" w:hAnsi="Arial" w:cs="Arial"/>
                <w:b/>
                <w:bCs/>
                <w:color w:val="000000"/>
              </w:rPr>
              <w:t xml:space="preserve">Strategie mezinárodní konkurenceschopnosti České republiky pro období let 2012 až 2020 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Rámec pro koordinaci rozvoje inovačního ekosystému - projektový záměr (Rada, MPO, MŠMT)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Projekt</w:t>
            </w: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být ukončen v roce 2013, řešení projektu souvisí s novelou zákona o podpoře výzkumu, experimentálního vývoje a inovací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60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Prostředí pro excelentní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- Metodika hodnocení výzkumných organizací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Realizováno v rámci projektu IPN na MŠMT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60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Prostředí pro excelentní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- Nová verze Priorit aplikovaného výzkumu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Splněno</w:t>
            </w:r>
          </w:p>
        </w:tc>
      </w:tr>
      <w:tr w:rsidR="008F611E" w:rsidRPr="00220BBE" w:rsidTr="008F611E">
        <w:trPr>
          <w:trHeight w:val="78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Prostředí pro excelentní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- Efektivní řízení výzkumných organizací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Souvisí s novelou zákona č. 130/2002 Sb., která bude předložena do vlády v roce 2015 a částečně s projektem IPN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78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Rozvoj spolupráce mezi podnikovým a výzkumným a vývojovým sektorem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Projekt probíhá v letech 2011 – 2020 (Rada, MPO, MŠMT, TA ČR), je plněn v rámci programů GAMA a TRIO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30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Spolupráce mezi podniky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Projekt probíhá v letech 2011 – 2020 (MPO)</w:t>
            </w:r>
          </w:p>
        </w:tc>
      </w:tr>
      <w:tr w:rsidR="008F611E" w:rsidRPr="00220BBE" w:rsidTr="008F611E">
        <w:trPr>
          <w:trHeight w:val="78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Foresight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a technologické oblasti strategického významu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Projekt probíhá v letech 2011 – 2020, navazuje na Priority (Rada, MŠMT, Czech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Trade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, MPO, TA ČR)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8F611E" w:rsidRPr="00220BBE" w:rsidTr="008F611E">
        <w:trPr>
          <w:trHeight w:val="1035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14289">
              <w:rPr>
                <w:rFonts w:ascii="Arial" w:hAnsi="Arial" w:cs="Arial"/>
                <w:b/>
                <w:bCs/>
                <w:color w:val="000000"/>
              </w:rPr>
              <w:t xml:space="preserve">Národní priority orientovaného výzkumu, experimentálního vývoje a inovací 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Implementační část zahrnuje celkem 21 (finančních a systémových) opatření k realizaci cílů strategické části.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Plněním jednotlivých opatření Aktualizace NP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VaVaI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 se Rada zabývá průběžně. Celkové hodnocení bude součástí další Aktualizace NP </w:t>
            </w:r>
            <w:proofErr w:type="spellStart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VaVaI</w:t>
            </w:r>
            <w:proofErr w:type="spellEnd"/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, která má být předložena vládě do 31. prosince 2015.</w:t>
            </w:r>
          </w:p>
        </w:tc>
      </w:tr>
      <w:tr w:rsidR="008F611E" w:rsidRPr="00220BBE" w:rsidTr="008F611E">
        <w:trPr>
          <w:trHeight w:val="900"/>
        </w:trPr>
        <w:tc>
          <w:tcPr>
            <w:tcW w:w="338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14289">
              <w:rPr>
                <w:rFonts w:ascii="Arial" w:hAnsi="Arial" w:cs="Arial"/>
                <w:b/>
                <w:bCs/>
                <w:color w:val="000000"/>
              </w:rPr>
              <w:t xml:space="preserve">Národní a výzkumná inovační strategie pro inteligentní specializaci České republiky </w:t>
            </w:r>
          </w:p>
        </w:tc>
        <w:tc>
          <w:tcPr>
            <w:tcW w:w="736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>Zpřesňování priorit RIS3, realizace úkolů plynoucích z RIS3, hodnocení jejich příspěvku k naplňování RIS3 a další.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8F611E" w:rsidRPr="00D14289" w:rsidRDefault="008F611E" w:rsidP="008F611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4289">
              <w:rPr>
                <w:rFonts w:ascii="Arial" w:hAnsi="Arial" w:cs="Arial"/>
                <w:color w:val="000000"/>
                <w:sz w:val="21"/>
                <w:szCs w:val="21"/>
              </w:rPr>
              <w:t xml:space="preserve">Agenda řízení RIS3 strategie je v gesci Úřadu vlády ČR. </w:t>
            </w:r>
          </w:p>
        </w:tc>
      </w:tr>
    </w:tbl>
    <w:p w:rsidR="008F611E" w:rsidRDefault="008F611E" w:rsidP="008F611E"/>
    <w:sectPr w:rsidR="008F611E" w:rsidSect="008F611E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08" w:rsidRDefault="00F23008" w:rsidP="008F77F6">
      <w:r>
        <w:separator/>
      </w:r>
    </w:p>
  </w:endnote>
  <w:endnote w:type="continuationSeparator" w:id="0">
    <w:p w:rsidR="00F23008" w:rsidRDefault="00F2300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406C3C" w:rsidP="00F85F64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06C3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06C3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08" w:rsidRDefault="00F23008" w:rsidP="008F77F6">
      <w:r>
        <w:separator/>
      </w:r>
    </w:p>
  </w:footnote>
  <w:footnote w:type="continuationSeparator" w:id="0">
    <w:p w:rsidR="00F23008" w:rsidRDefault="00F2300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236AE65" wp14:editId="66CD427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C1BDB24" wp14:editId="73B2C61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8F611E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303</w:t>
          </w:r>
          <w:r w:rsidR="006E7A43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3B4768"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  <w:r w:rsidR="002A32EC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Příloha 2</w:t>
          </w:r>
        </w:p>
      </w:tc>
    </w:tr>
  </w:tbl>
  <w:p w:rsidR="008F611E" w:rsidRDefault="008F611E" w:rsidP="008F611E">
    <w:pPr>
      <w:pStyle w:val="Zhlav"/>
      <w:jc w:val="center"/>
      <w:rPr>
        <w:rFonts w:ascii="Arial" w:hAnsi="Arial" w:cs="Arial"/>
        <w:b/>
        <w:color w:val="333399"/>
        <w:sz w:val="28"/>
        <w:szCs w:val="28"/>
      </w:rPr>
    </w:pPr>
  </w:p>
  <w:p w:rsidR="008F611E" w:rsidRPr="008F611E" w:rsidRDefault="008F611E" w:rsidP="008F611E">
    <w:pPr>
      <w:pStyle w:val="Zhlav"/>
      <w:jc w:val="center"/>
      <w:rPr>
        <w:rFonts w:ascii="Arial" w:hAnsi="Arial" w:cs="Arial"/>
        <w:b/>
        <w:color w:val="0070C0"/>
        <w:sz w:val="28"/>
        <w:szCs w:val="28"/>
      </w:rPr>
    </w:pPr>
    <w:r w:rsidRPr="008F611E">
      <w:rPr>
        <w:rFonts w:ascii="Arial" w:hAnsi="Arial" w:cs="Arial"/>
        <w:b/>
        <w:color w:val="0070C0"/>
        <w:sz w:val="28"/>
        <w:szCs w:val="28"/>
      </w:rPr>
      <w:t xml:space="preserve">Přehled úkolů vyplývajících z platných dokumentů se vztahem k </w:t>
    </w:r>
    <w:proofErr w:type="spellStart"/>
    <w:r w:rsidRPr="008F611E">
      <w:rPr>
        <w:rFonts w:ascii="Arial" w:hAnsi="Arial" w:cs="Arial"/>
        <w:b/>
        <w:color w:val="0070C0"/>
        <w:sz w:val="28"/>
        <w:szCs w:val="28"/>
      </w:rPr>
      <w:t>VaVaI</w:t>
    </w:r>
    <w:proofErr w:type="spellEnd"/>
  </w:p>
  <w:p w:rsidR="00CC370F" w:rsidRDefault="00CC370F" w:rsidP="002A32EC">
    <w:pPr>
      <w:pStyle w:val="Zhlav"/>
      <w:tabs>
        <w:tab w:val="clear" w:pos="9072"/>
        <w:tab w:val="right" w:pos="1445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37006"/>
    <w:rsid w:val="00265A36"/>
    <w:rsid w:val="002A32EC"/>
    <w:rsid w:val="002E2591"/>
    <w:rsid w:val="00360293"/>
    <w:rsid w:val="00387B05"/>
    <w:rsid w:val="003B44CB"/>
    <w:rsid w:val="003B4768"/>
    <w:rsid w:val="003C2A8E"/>
    <w:rsid w:val="00406C3C"/>
    <w:rsid w:val="004F7A02"/>
    <w:rsid w:val="005E43C2"/>
    <w:rsid w:val="00616978"/>
    <w:rsid w:val="006E7A43"/>
    <w:rsid w:val="00720790"/>
    <w:rsid w:val="00810AA0"/>
    <w:rsid w:val="008D0383"/>
    <w:rsid w:val="008F611E"/>
    <w:rsid w:val="008F77F6"/>
    <w:rsid w:val="009758E5"/>
    <w:rsid w:val="00AA6A69"/>
    <w:rsid w:val="00AD5458"/>
    <w:rsid w:val="00CC370F"/>
    <w:rsid w:val="00DC5FE9"/>
    <w:rsid w:val="00E82C93"/>
    <w:rsid w:val="00E90863"/>
    <w:rsid w:val="00F23008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725F-E3CE-456D-84C4-27564F36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19</cp:revision>
  <cp:lastPrinted>2015-03-11T10:28:00Z</cp:lastPrinted>
  <dcterms:created xsi:type="dcterms:W3CDTF">2015-02-17T16:38:00Z</dcterms:created>
  <dcterms:modified xsi:type="dcterms:W3CDTF">2015-03-11T10:28:00Z</dcterms:modified>
</cp:coreProperties>
</file>